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Style w:val="Heading6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69894550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69894550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69894550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69894550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4162.010.26.1.4483-2025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EMERSON VELA LONDOÑO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93.407.531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KRYSTHIAN DAVID RAMIREZ MUNEVAR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como profesional especializado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DIECIOCHO MILLONES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VEINTIÚN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MIL PESOS MCTE ($18.021.000)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$ 18.021.000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$ 6.007.000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$ 12.014.000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9493059703 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1897793965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04/10/2025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Octubre/2025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adjunta la seguridad social del mes de Octubre de 2025 para el pago de esta cuenta, conforme al Decreto 1273 del 23/07/2018, que permite el pago de la seguridad social mes vencido. Se compromete a pagar la seguridad social correspondiente al mes de Noviembre de 2025.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el desarrollo del contrato de prestación de servicios No. 4162.010.26.1.4483-2025 se pudo verificar que el contratista realizó la siguiente actividad en cumplimiento de sus obligaciones y objeto contractual.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068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Gestionar con DATIC el cambio de equipos activos de red e integración de los tres nodos de la subsecretaría de infraestructura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y la Recreación, incluyendo definición de fases, tiempos estimados, dependencias y recursos requeridos.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491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y gesti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nó con DATIC el cambio de equipos activos de red, se realizaron reuniones de coordinación y visitas técnicas para analizar las condiciones actuales de los nodos y levantar información precisa sobre los espacios, infraestructuras existentes y requerimientos para la instalación y configuración de los nuevos dispositivos en la Subsecretaría de Infraestructura y la Secretaría del Deporte y la Recreación.​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491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Como parte de la actualización tecnológica, se implementarán cambios en los switches de capa 3 y puntos de acceso WiFi versión 7, que permitirán optimizar el rendimiento, maximizar la cobertura y seguridad, y habilitar nuevas funcionalidades de segmentación y enruting de red. Esta evolución técnica facilitará la interoperabilidad y el tráfico eficiente entre los nodos, asegurando la continuidad de los servicios y la integración avanzada en la infraestructura municipal.​​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491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Adicionalmente, el área REMI —adscrita administrativamente a DATIC— ha asignado previamente las direcciones IP fijas de administración para estos nuevos equipos, lo que garantiza su correcta identificación, acceso y gestión remota. Este paso estratégico forma parte del cronograma detallado que incluye fases de preparación, instalación física, configuración, pruebas y puesta en marcha, con tiempos, dependencias y asignación de recursos para asegurar la transición ordenada y el cumplimiento de los objetivos del proyecto.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480" w:lineRule="auto"/>
              <w:ind w:left="212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Puntos a detallar en el cronograma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Solicitud de estudios de operación de la red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Visitas técnicas DATIC y TIC SDR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Socialización de deficiencias y alcances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Propuesta técnica de soluciones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Planificación y definición de fases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Asignación de IPs fijas por REMI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Instalación y configuración de equipos (switches capa 3, WiFi v7)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" w:line="276" w:lineRule="auto"/>
              <w:ind w:left="1764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Pruebas, puesta en marcha y cierre.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48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514090" cy="2340610"/>
                  <wp:effectExtent b="0" l="0" r="0" t="0"/>
                  <wp:docPr id="169894550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090" cy="23406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480" w:lineRule="auto"/>
              <w:ind w:left="141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 final del proceso se espera una infraestructura de red renovada, segura y eficiente, alineada con los objetivos estratégicos institucionales y las necesidades operativas de las áreas involucradas. La gestión conjunta, la documentación de avances y la supervisión técnica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asegurará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una transición sin contratiempos y la entrega conforme a los requerimientos establecidos por la organización.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480" w:lineRule="auto"/>
              <w:ind w:left="708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Asignación de IPs fijas por REMI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514090" cy="2827655"/>
                  <wp:effectExtent b="0" l="0" r="0" t="0"/>
                  <wp:docPr id="169894550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090" cy="28276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2203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90">
            <w:pP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sz w:val="24"/>
                <w:szCs w:val="24"/>
                <w:u w:val="single"/>
                <w:rtl w:val="0"/>
              </w:rPr>
              <w:t xml:space="preserve">https://drive.google.com/drive/folders/1zTtsbsay-HlhIDYQAFkzp-XSRK0ltauI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N/A.</w:t>
            </w:r>
          </w:p>
        </w:tc>
      </w:tr>
      <w:tr>
        <w:trPr>
          <w:cantSplit w:val="1"/>
          <w:trHeight w:val="41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6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No se reporta recomendaciones para el presente período.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KRYSTHIAN DAVID RAMIREZ MUNEVAR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  <w:tab/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600075" cy="200025"/>
                  <wp:effectExtent b="0" l="0" r="0" t="0"/>
                  <wp:docPr id="1698945504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2000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18/NOV/2025</w:t>
            </w:r>
          </w:p>
        </w:tc>
      </w:tr>
    </w:tbl>
    <w:p w:rsidR="00000000" w:rsidDel="00000000" w:rsidP="00000000" w:rsidRDefault="00000000" w:rsidRPr="00000000" w14:paraId="000000B0">
      <w:pPr>
        <w:tabs>
          <w:tab w:val="left" w:leader="none" w:pos="1365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9894550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20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1068" w:hanging="360"/>
      </w:pPr>
      <w:rPr/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i w:val="1"/>
      <w:iCs w:val="1"/>
      <w:color w:val="1e4d78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121B3B"/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character" w:styleId="WW8Num3z7" w:customStyle="1">
    <w:name w:val="WW8Num3z7"/>
    <w:qFormat w:val="1"/>
    <w:rsid w:val="0020015A"/>
  </w:style>
  <w:style w:type="character" w:styleId="WW8Num1z0" w:customStyle="1">
    <w:name w:val="WW8Num1z0"/>
    <w:qFormat w:val="1"/>
    <w:rsid w:val="003F0BA1"/>
    <w:rPr>
      <w:rFonts w:ascii="Wingdings" w:cs="Wingdings" w:eastAsia="Wingdings" w:hAnsi="Wingding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4.jpg"/><Relationship Id="rId12" Type="http://schemas.openxmlformats.org/officeDocument/2006/relationships/footer" Target="foot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zpTRZvaFRpTej2xX12uC8RDN/A==">CgMxLjA4AHIhMW1pU21OdHpKa2M1Y243X2t4VmY2Qk43RzlfV3Z3WG0y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2025-10-08T19:59:00Z</dcterms:created>
  <dc:creator>LEYDHER</dc:creator>
</cp:coreProperties>
</file>